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542E5B" w:rsidRDefault="00F92268" w:rsidP="00850792">
      <w:pPr>
        <w:pStyle w:val="BodyText"/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542E5B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B3F7733" w:rsidR="00F92268" w:rsidRPr="00542E5B" w:rsidRDefault="0065136F" w:rsidP="00542E5B">
            <w:pPr>
              <w:pStyle w:val="RefTableData"/>
            </w:pPr>
            <w:r w:rsidRPr="00542E5B">
              <w:t>2159-A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B7206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4AE7BAE1" w14:textId="77777777" w:rsidR="00D96442" w:rsidRDefault="00D96442" w:rsidP="007E5C16">
      <w:pPr>
        <w:pStyle w:val="Heading1"/>
      </w:pPr>
      <w:r>
        <w:t>Initial Prior Authorization</w:t>
      </w:r>
    </w:p>
    <w:p w14:paraId="3F4DE49F" w14:textId="00C29DBD" w:rsidR="004B15BB" w:rsidRDefault="0065136F" w:rsidP="007E5C16">
      <w:pPr>
        <w:pStyle w:val="Heading1"/>
      </w:pPr>
      <w:r w:rsidRPr="0065136F">
        <w:t xml:space="preserve">New York </w:t>
      </w:r>
      <w:r w:rsidR="001D685E">
        <w:t xml:space="preserve">Mandate </w:t>
      </w:r>
      <w:r w:rsidR="00941A17">
        <w:t>Medicaid</w:t>
      </w:r>
    </w:p>
    <w:p w14:paraId="7871AD93" w14:textId="7F2FE70E" w:rsidR="001D685E" w:rsidRPr="001D685E" w:rsidRDefault="00A54878" w:rsidP="001D685E">
      <w:pPr>
        <w:pStyle w:val="Heading1"/>
      </w:pPr>
      <w:r>
        <w:t>Specialty</w:t>
      </w:r>
    </w:p>
    <w:p w14:paraId="6145B9FE" w14:textId="4F00CE8D" w:rsidR="00785F2D" w:rsidRPr="00BD1CC1" w:rsidRDefault="00785F2D" w:rsidP="00785F2D">
      <w:pPr>
        <w:pStyle w:val="Heading2"/>
      </w:pPr>
      <w:r w:rsidRPr="00BD1CC1">
        <w:t>Products Referenced by this Document</w:t>
      </w:r>
    </w:p>
    <w:p w14:paraId="4AFD3F8E" w14:textId="3D2BEE52" w:rsidR="00785F2D" w:rsidRPr="00BD1CC1" w:rsidRDefault="00785F2D" w:rsidP="00785F2D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3A4E6D" w:rsidRPr="00BD1CC1">
        <w:t>O</w:t>
      </w:r>
      <w:r w:rsidR="003A4E6D">
        <w:t>ver-the-counter</w:t>
      </w:r>
      <w:r w:rsidR="003A4E6D" w:rsidRPr="00BD1CC1">
        <w:t xml:space="preserve"> </w:t>
      </w:r>
      <w:r w:rsidR="003A4E6D">
        <w:t xml:space="preserve">(OTC) </w:t>
      </w:r>
      <w:r w:rsidRPr="00BD1CC1">
        <w:t>products are not included unless otherwise stated.</w:t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20" w:firstRow="1" w:lastRow="0" w:firstColumn="0" w:lastColumn="0" w:noHBand="0" w:noVBand="1"/>
      </w:tblPr>
      <w:tblGrid>
        <w:gridCol w:w="10740"/>
      </w:tblGrid>
      <w:tr w:rsidR="00785F2D" w14:paraId="790387EE" w14:textId="77777777" w:rsidTr="009F51B1">
        <w:trPr>
          <w:cantSplit/>
          <w:tblHeader/>
        </w:trPr>
        <w:tc>
          <w:tcPr>
            <w:tcW w:w="10790" w:type="dxa"/>
          </w:tcPr>
          <w:p w14:paraId="1FFE4757" w14:textId="77777777" w:rsidR="00785F2D" w:rsidRDefault="00785F2D" w:rsidP="009F51B1">
            <w:pPr>
              <w:pStyle w:val="TableHeader"/>
            </w:pPr>
            <w:r>
              <w:t>Brand Name</w:t>
            </w:r>
          </w:p>
        </w:tc>
      </w:tr>
      <w:tr w:rsidR="00785F2D" w14:paraId="09301296" w14:textId="77777777" w:rsidTr="009F51B1">
        <w:trPr>
          <w:cantSplit/>
        </w:trPr>
        <w:tc>
          <w:tcPr>
            <w:tcW w:w="10790" w:type="dxa"/>
          </w:tcPr>
          <w:p w14:paraId="17829F90" w14:textId="5BFDE663" w:rsidR="00785F2D" w:rsidRDefault="00785F2D" w:rsidP="009F51B1">
            <w:pPr>
              <w:pStyle w:val="TableDataUnpadded"/>
            </w:pPr>
            <w:r w:rsidRPr="0065136F">
              <w:t>Eligard (1966-A)</w:t>
            </w:r>
          </w:p>
        </w:tc>
      </w:tr>
      <w:tr w:rsidR="00785F2D" w14:paraId="4FD52C1B" w14:textId="77777777" w:rsidTr="009F51B1">
        <w:trPr>
          <w:cantSplit/>
        </w:trPr>
        <w:tc>
          <w:tcPr>
            <w:tcW w:w="10790" w:type="dxa"/>
          </w:tcPr>
          <w:p w14:paraId="1445AB9C" w14:textId="4CE7D456" w:rsidR="00785F2D" w:rsidRDefault="00785F2D" w:rsidP="009F51B1">
            <w:pPr>
              <w:pStyle w:val="TableDataUnpadded"/>
            </w:pPr>
            <w:r w:rsidRPr="0065136F">
              <w:t>Fensolvi (3864-A)</w:t>
            </w:r>
          </w:p>
        </w:tc>
      </w:tr>
      <w:tr w:rsidR="00785F2D" w14:paraId="547BE1FD" w14:textId="77777777" w:rsidTr="009F51B1">
        <w:trPr>
          <w:cantSplit/>
        </w:trPr>
        <w:tc>
          <w:tcPr>
            <w:tcW w:w="10790" w:type="dxa"/>
          </w:tcPr>
          <w:p w14:paraId="4009D6A2" w14:textId="32BC12BD" w:rsidR="00785F2D" w:rsidRDefault="00785F2D" w:rsidP="009F51B1">
            <w:pPr>
              <w:pStyle w:val="TableDataUnpadded"/>
            </w:pPr>
            <w:r w:rsidRPr="0065136F">
              <w:t>Lupron-Depot Endometriosis-Fibroid (1970-A)</w:t>
            </w:r>
          </w:p>
        </w:tc>
      </w:tr>
      <w:tr w:rsidR="00785F2D" w14:paraId="165644F5" w14:textId="77777777" w:rsidTr="009F51B1">
        <w:trPr>
          <w:cantSplit/>
        </w:trPr>
        <w:tc>
          <w:tcPr>
            <w:tcW w:w="10790" w:type="dxa"/>
          </w:tcPr>
          <w:p w14:paraId="305DB785" w14:textId="5AF13966" w:rsidR="00785F2D" w:rsidRPr="0065136F" w:rsidRDefault="00785F2D" w:rsidP="009F51B1">
            <w:pPr>
              <w:pStyle w:val="TableDataUnpadded"/>
            </w:pPr>
            <w:r w:rsidRPr="0065136F">
              <w:t>Lupron-Depot Ped (1972-A)</w:t>
            </w:r>
          </w:p>
        </w:tc>
      </w:tr>
      <w:tr w:rsidR="00785F2D" w14:paraId="33735040" w14:textId="77777777" w:rsidTr="009F51B1">
        <w:trPr>
          <w:cantSplit/>
        </w:trPr>
        <w:tc>
          <w:tcPr>
            <w:tcW w:w="10790" w:type="dxa"/>
          </w:tcPr>
          <w:p w14:paraId="4895BCA8" w14:textId="41812E4A" w:rsidR="00785F2D" w:rsidRPr="0065136F" w:rsidRDefault="00785F2D" w:rsidP="009F51B1">
            <w:pPr>
              <w:pStyle w:val="TableDataUnpadded"/>
            </w:pPr>
            <w:r w:rsidRPr="0065136F">
              <w:t>Lupron-Depot Prostate Ca (1971-A)</w:t>
            </w:r>
          </w:p>
        </w:tc>
      </w:tr>
      <w:tr w:rsidR="00785F2D" w14:paraId="3E8A1ADC" w14:textId="77777777" w:rsidTr="009F51B1">
        <w:trPr>
          <w:cantSplit/>
        </w:trPr>
        <w:tc>
          <w:tcPr>
            <w:tcW w:w="10790" w:type="dxa"/>
          </w:tcPr>
          <w:p w14:paraId="7B4FC6CA" w14:textId="73E847FE" w:rsidR="00785F2D" w:rsidRPr="0065136F" w:rsidRDefault="00785F2D" w:rsidP="009F51B1">
            <w:pPr>
              <w:pStyle w:val="TableDataUnpadded"/>
            </w:pPr>
            <w:r w:rsidRPr="0065136F">
              <w:t>Supprelin La (1973-A)</w:t>
            </w:r>
          </w:p>
        </w:tc>
      </w:tr>
      <w:tr w:rsidR="00785F2D" w14:paraId="41B67482" w14:textId="77777777" w:rsidTr="009F51B1">
        <w:trPr>
          <w:cantSplit/>
        </w:trPr>
        <w:tc>
          <w:tcPr>
            <w:tcW w:w="10790" w:type="dxa"/>
          </w:tcPr>
          <w:p w14:paraId="3C952B9A" w14:textId="5F9303BB" w:rsidR="00785F2D" w:rsidRPr="0065136F" w:rsidRDefault="00785F2D" w:rsidP="009F51B1">
            <w:pPr>
              <w:pStyle w:val="TableDataUnpadded"/>
            </w:pPr>
            <w:r w:rsidRPr="0065136F">
              <w:t>Trelstar (1968-A)</w:t>
            </w:r>
          </w:p>
        </w:tc>
      </w:tr>
      <w:tr w:rsidR="00785F2D" w14:paraId="1C3223CB" w14:textId="77777777" w:rsidTr="009F51B1">
        <w:trPr>
          <w:cantSplit/>
        </w:trPr>
        <w:tc>
          <w:tcPr>
            <w:tcW w:w="10790" w:type="dxa"/>
          </w:tcPr>
          <w:p w14:paraId="5FBE222E" w14:textId="50B6D2C6" w:rsidR="00785F2D" w:rsidRPr="0065136F" w:rsidRDefault="00785F2D" w:rsidP="009F51B1">
            <w:pPr>
              <w:pStyle w:val="TableDataUnpadded"/>
            </w:pPr>
            <w:r w:rsidRPr="0065136F">
              <w:t>Triptodur (2504-A)</w:t>
            </w:r>
          </w:p>
        </w:tc>
      </w:tr>
      <w:tr w:rsidR="00785F2D" w14:paraId="4D43DCC5" w14:textId="77777777" w:rsidTr="009F51B1">
        <w:trPr>
          <w:cantSplit/>
        </w:trPr>
        <w:tc>
          <w:tcPr>
            <w:tcW w:w="10790" w:type="dxa"/>
          </w:tcPr>
          <w:p w14:paraId="24BEF82F" w14:textId="5D1CD48C" w:rsidR="00785F2D" w:rsidRPr="0065136F" w:rsidRDefault="00785F2D" w:rsidP="009F51B1">
            <w:pPr>
              <w:pStyle w:val="TableDataUnpadded"/>
            </w:pPr>
            <w:r w:rsidRPr="0065136F">
              <w:t>Zoladex (1918-A)</w:t>
            </w:r>
          </w:p>
        </w:tc>
      </w:tr>
    </w:tbl>
    <w:p w14:paraId="066FD1EC" w14:textId="77777777" w:rsidR="000E7C99" w:rsidRPr="000E7C99" w:rsidRDefault="000E7C99" w:rsidP="000E7C99">
      <w:pPr>
        <w:sectPr w:rsidR="000E7C99" w:rsidRPr="000E7C99" w:rsidSect="00B7206F">
          <w:headerReference w:type="first" r:id="rId18"/>
          <w:footerReference w:type="first" r:id="rId19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0A38FBA" w14:textId="188A6870" w:rsidR="00FE0C63" w:rsidRDefault="00685107" w:rsidP="00E050E1">
      <w:pPr>
        <w:pStyle w:val="Heading2"/>
      </w:pPr>
      <w:r>
        <w:t>Coverage Criteria</w:t>
      </w:r>
    </w:p>
    <w:p w14:paraId="570B0C13" w14:textId="77777777" w:rsidR="0065136F" w:rsidRPr="0065136F" w:rsidRDefault="0065136F" w:rsidP="0065136F">
      <w:pPr>
        <w:pStyle w:val="Heading3"/>
      </w:pPr>
      <w:r w:rsidRPr="0065136F">
        <w:t>Gender Dysphoria</w:t>
      </w:r>
    </w:p>
    <w:p w14:paraId="5DDB260B" w14:textId="77777777" w:rsidR="0065136F" w:rsidRPr="0065136F" w:rsidRDefault="0065136F" w:rsidP="0065136F">
      <w:pPr>
        <w:pStyle w:val="BodyText"/>
      </w:pPr>
      <w:r w:rsidRPr="0065136F">
        <w:t>Authorization may be granted for the patient’s diagnosis of gender dysphoria when ALL of the following criteria are met:</w:t>
      </w:r>
    </w:p>
    <w:p w14:paraId="3B4F587A" w14:textId="0D8FD24F" w:rsidR="0065136F" w:rsidRPr="0065136F" w:rsidRDefault="0065136F" w:rsidP="0065136F">
      <w:pPr>
        <w:pStyle w:val="ListParagraph"/>
        <w:numPr>
          <w:ilvl w:val="0"/>
          <w:numId w:val="28"/>
        </w:numPr>
        <w:contextualSpacing w:val="0"/>
      </w:pPr>
      <w:r w:rsidRPr="0065136F">
        <w:t>The patient has experienced puberty to at least Tanner stage 2</w:t>
      </w:r>
      <w:r w:rsidR="00113252">
        <w:t>.</w:t>
      </w:r>
    </w:p>
    <w:p w14:paraId="6E020A0C" w14:textId="349DB19A" w:rsidR="0065136F" w:rsidRPr="0065136F" w:rsidRDefault="0065136F" w:rsidP="0065136F">
      <w:pPr>
        <w:pStyle w:val="ListParagraph"/>
        <w:numPr>
          <w:ilvl w:val="0"/>
          <w:numId w:val="28"/>
        </w:numPr>
        <w:contextualSpacing w:val="0"/>
      </w:pPr>
      <w:r w:rsidRPr="0065136F">
        <w:lastRenderedPageBreak/>
        <w:t>The patient’s pubertal changes did result in an increase in gender dysphoria</w:t>
      </w:r>
      <w:r w:rsidR="00113252">
        <w:t>.</w:t>
      </w:r>
    </w:p>
    <w:p w14:paraId="5F48645F" w14:textId="799E9AEC" w:rsidR="0065136F" w:rsidRPr="0065136F" w:rsidRDefault="0065136F" w:rsidP="0065136F">
      <w:pPr>
        <w:pStyle w:val="ListParagraph"/>
        <w:numPr>
          <w:ilvl w:val="0"/>
          <w:numId w:val="28"/>
        </w:numPr>
        <w:contextualSpacing w:val="0"/>
      </w:pPr>
      <w:r w:rsidRPr="0065136F">
        <w:t>The patient has been evaluated for psychiatric conditions that could interfere with the diagnostic work-up or treatment</w:t>
      </w:r>
      <w:r w:rsidR="00113252">
        <w:t>.</w:t>
      </w:r>
    </w:p>
    <w:p w14:paraId="773F6DA5" w14:textId="6F83A696" w:rsidR="0065136F" w:rsidRPr="0065136F" w:rsidRDefault="0065136F" w:rsidP="0065136F">
      <w:pPr>
        <w:pStyle w:val="ListParagraph"/>
        <w:numPr>
          <w:ilvl w:val="0"/>
          <w:numId w:val="28"/>
        </w:numPr>
        <w:contextualSpacing w:val="0"/>
      </w:pPr>
      <w:r w:rsidRPr="0065136F">
        <w:t>The patient will have adequate psychological and social support during treatment</w:t>
      </w:r>
      <w:r w:rsidR="00113252">
        <w:t>.</w:t>
      </w:r>
    </w:p>
    <w:p w14:paraId="575E4AAD" w14:textId="25C4323F" w:rsidR="0065136F" w:rsidRPr="0065136F" w:rsidRDefault="0065136F" w:rsidP="0065136F">
      <w:pPr>
        <w:pStyle w:val="ListParagraph"/>
        <w:numPr>
          <w:ilvl w:val="0"/>
          <w:numId w:val="28"/>
        </w:numPr>
        <w:contextualSpacing w:val="0"/>
      </w:pPr>
      <w:r w:rsidRPr="0065136F">
        <w:t>The patient does demonstrate knowledge and understanding of the expected outcomes of treatment with pubertal suppressants</w:t>
      </w:r>
      <w:r w:rsidR="00113252">
        <w:t>.</w:t>
      </w:r>
    </w:p>
    <w:p w14:paraId="13340621" w14:textId="10E3A318" w:rsidR="0065136F" w:rsidRDefault="0065136F" w:rsidP="0065136F">
      <w:pPr>
        <w:pStyle w:val="ListParagraph"/>
        <w:numPr>
          <w:ilvl w:val="0"/>
          <w:numId w:val="28"/>
        </w:numPr>
        <w:contextualSpacing w:val="0"/>
      </w:pPr>
      <w:r w:rsidRPr="0065136F">
        <w:t>The patient does demonstrate knowledge and understanding of the medical and social risks and benefits of sex reassignment</w:t>
      </w:r>
      <w:r w:rsidR="00113252">
        <w:t>.</w:t>
      </w:r>
    </w:p>
    <w:p w14:paraId="1F387316" w14:textId="264658C1" w:rsidR="00183B46" w:rsidRDefault="00183B46" w:rsidP="00183B46">
      <w:pPr>
        <w:pStyle w:val="Heading2"/>
      </w:pPr>
      <w:r>
        <w:t>Duration of Approval (DOA)</w:t>
      </w:r>
    </w:p>
    <w:p w14:paraId="67CD4394" w14:textId="50BDF637" w:rsidR="0065136F" w:rsidRPr="0065136F" w:rsidRDefault="0065136F" w:rsidP="000E7C99">
      <w:pPr>
        <w:pStyle w:val="ListParagraph"/>
        <w:numPr>
          <w:ilvl w:val="0"/>
          <w:numId w:val="31"/>
        </w:numPr>
      </w:pPr>
      <w:r w:rsidRPr="0065136F">
        <w:t>2159-A: DOA: 12 months</w:t>
      </w:r>
    </w:p>
    <w:p w14:paraId="10DA4309" w14:textId="72F7DDB4" w:rsidR="00FF66BF" w:rsidRDefault="00FF66BF" w:rsidP="00FF66BF">
      <w:pPr>
        <w:pStyle w:val="Heading2"/>
      </w:pPr>
      <w:r w:rsidRPr="008D1B34">
        <w:t>References</w:t>
      </w:r>
    </w:p>
    <w:p w14:paraId="6273C26A" w14:textId="1247A57A" w:rsidR="0065136F" w:rsidRPr="0065136F" w:rsidRDefault="0065136F" w:rsidP="000E7C99">
      <w:pPr>
        <w:pStyle w:val="ReferenceOrdered"/>
      </w:pPr>
      <w:r w:rsidRPr="0065136F">
        <w:t>New York State Department of Health; Medicaid regulations at 18 NYCRR 505.2(l), December 2016.</w:t>
      </w:r>
    </w:p>
    <w:p w14:paraId="62AE47D3" w14:textId="776FD822" w:rsidR="000E0438" w:rsidRDefault="000E0438" w:rsidP="000E0438">
      <w:pPr>
        <w:pStyle w:val="Heading2"/>
      </w:pPr>
      <w:r w:rsidRPr="001D164A">
        <w:t>Document History</w:t>
      </w:r>
    </w:p>
    <w:p w14:paraId="0FEF0937" w14:textId="6EF86D43" w:rsidR="0065136F" w:rsidRPr="000E7C99" w:rsidRDefault="0065136F" w:rsidP="000E7C99">
      <w:pPr>
        <w:pStyle w:val="BodyText"/>
      </w:pPr>
      <w:r w:rsidRPr="000E7C99">
        <w:t>Written: Specialty Clinical Development (TS) 07/2017</w:t>
      </w:r>
    </w:p>
    <w:p w14:paraId="6041399A" w14:textId="49B62DAB" w:rsidR="0065136F" w:rsidRPr="000E7C99" w:rsidRDefault="0065136F" w:rsidP="000E7C99">
      <w:pPr>
        <w:pStyle w:val="BodyText"/>
      </w:pPr>
      <w:r w:rsidRPr="000E7C99">
        <w:t xml:space="preserve">Revised: PK 07/2018 (no changes per GSRA), CN 08/2019 (no changes per GSRA), LP 08/2021 (no clinical changed, added Fensolvi), (JK) 07/2022 (removed </w:t>
      </w:r>
      <w:proofErr w:type="spellStart"/>
      <w:r w:rsidRPr="000E7C99">
        <w:t>Vantas</w:t>
      </w:r>
      <w:proofErr w:type="spellEnd"/>
      <w:r w:rsidRPr="000E7C99">
        <w:t>), 10/2022 (updated knowledge question to align with targeted agents), 02/2023 (no clinical changes), 03/2024 (no clinical changes)</w:t>
      </w:r>
      <w:r w:rsidR="00B9242F">
        <w:t>, 03/2025 (no clinical changes)</w:t>
      </w:r>
    </w:p>
    <w:p w14:paraId="414BB2BF" w14:textId="36B16676" w:rsidR="0065136F" w:rsidRPr="000E7C99" w:rsidRDefault="0065136F" w:rsidP="000E7C99">
      <w:pPr>
        <w:pStyle w:val="BodyText"/>
      </w:pPr>
      <w:r w:rsidRPr="000E7C99">
        <w:t>Reviewed: CDPR/ MES 07/2017, GAD 07/2018, 08/2018, ME 08/2019, (CHART) 07/07/2022, 10/13/2022, 02/23/2023, 03/21/2024</w:t>
      </w:r>
      <w:r w:rsidR="006E6C7B">
        <w:t>, 03/27/2025</w:t>
      </w:r>
    </w:p>
    <w:p w14:paraId="47E1A10C" w14:textId="45BC6C26" w:rsidR="00C44990" w:rsidRPr="0030585D" w:rsidRDefault="0065136F" w:rsidP="0030585D">
      <w:pPr>
        <w:pStyle w:val="BodyText"/>
        <w:rPr>
          <w:lang w:val="pt-BR"/>
        </w:rPr>
      </w:pPr>
      <w:r w:rsidRPr="0030585D">
        <w:rPr>
          <w:lang w:val="pt-BR"/>
        </w:rPr>
        <w:t>External: 08/2017 (P&amp;T, no external), 08/2018 (P&amp;T, no external), 08/2022 (FYI), 09/2022, 10/2022, 04/2023 (FYI)</w:t>
      </w:r>
      <w:r w:rsidR="006E6C7B">
        <w:rPr>
          <w:lang w:val="pt-BR"/>
        </w:rPr>
        <w:t>, 04/2024 (FYI)</w:t>
      </w:r>
      <w:r w:rsidR="00045D02">
        <w:rPr>
          <w:lang w:val="pt-BR"/>
        </w:rPr>
        <w:t>, 04/2025 (FYI)</w:t>
      </w:r>
    </w:p>
    <w:sectPr w:rsidR="00C44990" w:rsidRPr="0030585D" w:rsidSect="008D4FD2">
      <w:type w:val="continuous"/>
      <w:pgSz w:w="12240" w:h="15840" w:code="1"/>
      <w:pgMar w:top="907" w:right="720" w:bottom="576" w:left="720" w:header="720" w:footer="72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FE0CC" w14:textId="77777777" w:rsidR="00F0592E" w:rsidRDefault="00F0592E">
      <w:r>
        <w:separator/>
      </w:r>
    </w:p>
  </w:endnote>
  <w:endnote w:type="continuationSeparator" w:id="0">
    <w:p w14:paraId="7692032B" w14:textId="77777777" w:rsidR="00F0592E" w:rsidRDefault="00F0592E">
      <w:r>
        <w:continuationSeparator/>
      </w:r>
    </w:p>
  </w:endnote>
  <w:endnote w:type="continuationNotice" w:id="1">
    <w:p w14:paraId="7268803B" w14:textId="77777777" w:rsidR="00F0592E" w:rsidRDefault="00F059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F7427" w14:textId="77777777" w:rsidR="00B34EA5" w:rsidRDefault="00B34E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9C01F" w14:textId="4EE3C6C2" w:rsidR="000E7C99" w:rsidRPr="00EC47B6" w:rsidRDefault="000E7C99" w:rsidP="000E7C99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AB3B45">
      <w:rPr>
        <w:rFonts w:hAnsi="Arial"/>
        <w:sz w:val="16"/>
        <w:szCs w:val="16"/>
      </w:rPr>
      <w:fldChar w:fldCharType="begin"/>
    </w:r>
    <w:r w:rsidRPr="00AB3B45">
      <w:rPr>
        <w:rFonts w:hAnsi="Arial"/>
        <w:sz w:val="16"/>
        <w:szCs w:val="16"/>
      </w:rPr>
      <w:instrText xml:space="preserve"> FILENAME   \* MERGEFORMAT </w:instrText>
    </w:r>
    <w:r w:rsidRPr="00AB3B45">
      <w:rPr>
        <w:rFonts w:hAnsi="Arial"/>
        <w:sz w:val="16"/>
        <w:szCs w:val="16"/>
      </w:rPr>
      <w:fldChar w:fldCharType="separate"/>
    </w:r>
    <w:r w:rsidR="007830EF" w:rsidRPr="007830EF">
      <w:rPr>
        <w:rFonts w:hAnsi="Arial" w:cs="Arial"/>
        <w:noProof/>
        <w:snapToGrid w:val="0"/>
        <w:color w:val="000000"/>
        <w:sz w:val="16"/>
        <w:szCs w:val="16"/>
      </w:rPr>
      <w:t>Specialty</w:t>
    </w:r>
    <w:r w:rsidR="007830EF">
      <w:rPr>
        <w:rFonts w:hAnsi="Arial"/>
        <w:noProof/>
        <w:sz w:val="16"/>
        <w:szCs w:val="16"/>
      </w:rPr>
      <w:t xml:space="preserve"> New York Mandate Medicaid 2159-A P04-2025.docx</w:t>
    </w:r>
    <w:r w:rsidRPr="00AB3B45">
      <w:rPr>
        <w:rFonts w:hAnsi="Arial"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B34EA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0ECC3F54" w14:textId="502DD5A9" w:rsidR="000E7C99" w:rsidRPr="00EC47B6" w:rsidRDefault="000E7C99" w:rsidP="000E7C9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4CA639BB" w14:textId="77777777" w:rsidR="000E7C99" w:rsidRPr="00EC47B6" w:rsidRDefault="000E7C99" w:rsidP="000E7C99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39DC309" w:rsidR="00F50D98" w:rsidRPr="00EC47B6" w:rsidRDefault="0065136F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AB3B45">
      <w:rPr>
        <w:rFonts w:hAnsi="Arial"/>
        <w:sz w:val="16"/>
        <w:szCs w:val="16"/>
      </w:rPr>
      <w:fldChar w:fldCharType="begin"/>
    </w:r>
    <w:r w:rsidRPr="00AB3B45">
      <w:rPr>
        <w:rFonts w:hAnsi="Arial"/>
        <w:sz w:val="16"/>
        <w:szCs w:val="16"/>
      </w:rPr>
      <w:instrText xml:space="preserve"> FILENAME   \* MERGEFORMAT </w:instrText>
    </w:r>
    <w:r w:rsidRPr="00AB3B45">
      <w:rPr>
        <w:rFonts w:hAnsi="Arial"/>
        <w:sz w:val="16"/>
        <w:szCs w:val="16"/>
      </w:rPr>
      <w:fldChar w:fldCharType="separate"/>
    </w:r>
    <w:r w:rsidR="009B564A" w:rsidRPr="009B564A">
      <w:rPr>
        <w:rFonts w:hAnsi="Arial" w:cs="Arial"/>
        <w:noProof/>
        <w:snapToGrid w:val="0"/>
        <w:color w:val="000000"/>
        <w:sz w:val="16"/>
        <w:szCs w:val="16"/>
      </w:rPr>
      <w:t>Specialty</w:t>
    </w:r>
    <w:r w:rsidR="009B564A">
      <w:rPr>
        <w:rFonts w:hAnsi="Arial"/>
        <w:noProof/>
        <w:sz w:val="16"/>
        <w:szCs w:val="16"/>
      </w:rPr>
      <w:t xml:space="preserve"> New York Mandate Medicaid 2159-A P04-2025.docx</w:t>
    </w:r>
    <w:r w:rsidRPr="00AB3B45">
      <w:rPr>
        <w:rFonts w:hAnsi="Arial"/>
        <w:sz w:val="16"/>
        <w:szCs w:val="16"/>
      </w:rPr>
      <w:fldChar w:fldCharType="end"/>
    </w:r>
    <w:r w:rsidR="00F50D98" w:rsidRPr="00EC47B6">
      <w:rPr>
        <w:rFonts w:cs="Arial"/>
        <w:snapToGrid w:val="0"/>
        <w:color w:val="000000"/>
        <w:sz w:val="16"/>
      </w:rPr>
      <w:tab/>
      <w:t>© 202</w:t>
    </w:r>
    <w:r w:rsidR="002F275A">
      <w:rPr>
        <w:rFonts w:cs="Arial"/>
        <w:snapToGrid w:val="0"/>
        <w:color w:val="000000"/>
        <w:sz w:val="16"/>
      </w:rPr>
      <w:t>5</w:t>
    </w:r>
    <w:r w:rsidR="00F50D98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D804253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FE95B46" w:rsidR="00ED04EC" w:rsidRPr="00F50D98" w:rsidRDefault="00F50D98" w:rsidP="0030585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E7E62" w14:textId="77777777" w:rsidR="00F0592E" w:rsidRDefault="00F0592E">
      <w:r>
        <w:separator/>
      </w:r>
    </w:p>
  </w:footnote>
  <w:footnote w:type="continuationSeparator" w:id="0">
    <w:p w14:paraId="369DEDEC" w14:textId="77777777" w:rsidR="00F0592E" w:rsidRDefault="00F0592E">
      <w:r>
        <w:continuationSeparator/>
      </w:r>
    </w:p>
  </w:footnote>
  <w:footnote w:type="continuationNotice" w:id="1">
    <w:p w14:paraId="6CEC158F" w14:textId="77777777" w:rsidR="00F0592E" w:rsidRDefault="00F059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9183" w14:textId="77777777" w:rsidR="00B34EA5" w:rsidRDefault="00B34E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0E7C99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0E7C99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6611A83" w:rsidR="00ED04EC" w:rsidRPr="000E7C99" w:rsidRDefault="0065136F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0E7C99">
            <w:rPr>
              <w:rFonts w:cs="Arial"/>
              <w:color w:val="000000" w:themeColor="text1"/>
              <w:sz w:val="16"/>
              <w:szCs w:val="16"/>
            </w:rPr>
            <w:t>2159-A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E05F8" w14:textId="77777777" w:rsidR="00B34EA5" w:rsidRDefault="00B34EA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7B5C4C1" w:rsidR="000F5383" w:rsidRPr="00FF66BF" w:rsidRDefault="0065136F" w:rsidP="009E1F57">
          <w:pPr>
            <w:pStyle w:val="RefTableHeader"/>
          </w:pPr>
          <w:r>
            <w:rPr>
              <w:rFonts w:hAnsi="Arial"/>
            </w:rPr>
            <w:t>2159-A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159B"/>
    <w:multiLevelType w:val="hybridMultilevel"/>
    <w:tmpl w:val="B7108D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8779B"/>
    <w:multiLevelType w:val="hybridMultilevel"/>
    <w:tmpl w:val="AE80E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40ADB"/>
    <w:multiLevelType w:val="hybridMultilevel"/>
    <w:tmpl w:val="13003A6E"/>
    <w:lvl w:ilvl="0" w:tplc="C69CE2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042E8"/>
    <w:multiLevelType w:val="hybridMultilevel"/>
    <w:tmpl w:val="27925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A028A">
      <w:numFmt w:val="bullet"/>
      <w:lvlText w:val="•"/>
      <w:lvlJc w:val="left"/>
      <w:pPr>
        <w:ind w:left="1800" w:hanging="720"/>
      </w:pPr>
      <w:rPr>
        <w:rFonts w:ascii="CVS Health Sans" w:eastAsia="Times New Roman" w:hAnsi="CVS Health San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52677"/>
    <w:multiLevelType w:val="hybridMultilevel"/>
    <w:tmpl w:val="1E0E45A6"/>
    <w:lvl w:ilvl="0" w:tplc="186A02BC">
      <w:numFmt w:val="bullet"/>
      <w:lvlText w:val="•"/>
      <w:lvlJc w:val="left"/>
      <w:pPr>
        <w:ind w:left="1080" w:hanging="720"/>
      </w:pPr>
      <w:rPr>
        <w:rFonts w:ascii="CVS Health Sans" w:eastAsia="Times New Roman" w:hAnsi="CVS Health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77FE4"/>
    <w:multiLevelType w:val="hybridMultilevel"/>
    <w:tmpl w:val="5B8A2E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7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30"/>
  </w:num>
  <w:num w:numId="18" w16cid:durableId="299724409">
    <w:abstractNumId w:val="23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2"/>
  </w:num>
  <w:num w:numId="22" w16cid:durableId="1472481103">
    <w:abstractNumId w:val="25"/>
  </w:num>
  <w:num w:numId="23" w16cid:durableId="1997420403">
    <w:abstractNumId w:val="28"/>
  </w:num>
  <w:num w:numId="24" w16cid:durableId="33312838">
    <w:abstractNumId w:val="24"/>
  </w:num>
  <w:num w:numId="25" w16cid:durableId="507404939">
    <w:abstractNumId w:val="16"/>
  </w:num>
  <w:num w:numId="26" w16cid:durableId="1950313333">
    <w:abstractNumId w:val="20"/>
  </w:num>
  <w:num w:numId="27" w16cid:durableId="1866016584">
    <w:abstractNumId w:val="18"/>
  </w:num>
  <w:num w:numId="28" w16cid:durableId="505634931">
    <w:abstractNumId w:val="26"/>
  </w:num>
  <w:num w:numId="29" w16cid:durableId="489634356">
    <w:abstractNumId w:val="29"/>
  </w:num>
  <w:num w:numId="30" w16cid:durableId="850224302">
    <w:abstractNumId w:val="19"/>
  </w:num>
  <w:num w:numId="31" w16cid:durableId="135727519">
    <w:abstractNumId w:val="15"/>
  </w:num>
  <w:num w:numId="32" w16cid:durableId="79256147">
    <w:abstractNumId w:val="31"/>
  </w:num>
  <w:num w:numId="33" w16cid:durableId="886183602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4FD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5D02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498C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E7C99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252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0FCE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1CF9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077"/>
    <w:rsid w:val="001D685E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B72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27F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75A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85D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48B1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5AAC"/>
    <w:rsid w:val="00396A5B"/>
    <w:rsid w:val="00396D00"/>
    <w:rsid w:val="003A0693"/>
    <w:rsid w:val="003A2056"/>
    <w:rsid w:val="003A4B3A"/>
    <w:rsid w:val="003A4E6D"/>
    <w:rsid w:val="003A5707"/>
    <w:rsid w:val="003A62AD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BF4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75B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93A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0F6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5B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84A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6E5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6FF0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3FC6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36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87FDF"/>
    <w:rsid w:val="006909A7"/>
    <w:rsid w:val="006913AD"/>
    <w:rsid w:val="00691725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6C7B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C2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036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0EF"/>
    <w:rsid w:val="007831D6"/>
    <w:rsid w:val="00785111"/>
    <w:rsid w:val="00785A2E"/>
    <w:rsid w:val="00785F2D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5AFE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4FD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1A17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6D13"/>
    <w:rsid w:val="00957439"/>
    <w:rsid w:val="009576D1"/>
    <w:rsid w:val="009578A4"/>
    <w:rsid w:val="0096111E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878DC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64A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17E2D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4D9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78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EA5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D74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0045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06F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42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D7839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6F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30D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23B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C46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93F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44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2014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6F99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43AD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592E"/>
    <w:rsid w:val="00F07EE5"/>
    <w:rsid w:val="00F10609"/>
    <w:rsid w:val="00F116E5"/>
    <w:rsid w:val="00F11F96"/>
    <w:rsid w:val="00F1213D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8A7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102fadf2-6cae-45bc-95f6-bc2613b98572"/>
    <ds:schemaRef ds:uri="http://schemas.openxmlformats.org/package/2006/metadata/core-properties"/>
    <ds:schemaRef ds:uri="ce173f13-e3a2-4c5f-8c54-d0382ae88016"/>
    <ds:schemaRef ds:uri="http://www.w3.org/XML/1998/namespace"/>
    <ds:schemaRef ds:uri="3d05f658-b5f7-4df6-8c02-f51ceb2e0127"/>
    <ds:schemaRef ds:uri="bed7683f-31c5-4c04-bbbd-fa4ba9c25b3c"/>
  </ds:schemaRefs>
</ds:datastoreItem>
</file>

<file path=customXml/itemProps3.xml><?xml version="1.0" encoding="utf-8"?>
<ds:datastoreItem xmlns:ds="http://schemas.openxmlformats.org/officeDocument/2006/customXml" ds:itemID="{60352A82-FA05-4C1C-8AFE-3A66AD4E7675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New York Mandate Medicaid REG 2159-A</vt:lpstr>
    </vt:vector>
  </TitlesOfParts>
  <Company>PCS Health Systems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Specialty New York Mandate Medicaid 2159-A</dc:title>
  <dc:subject/>
  <dc:creator>CVS Caremark</dc:creator>
  <cp:keywords/>
  <cp:lastModifiedBy>Kubilius, Jessica</cp:lastModifiedBy>
  <cp:revision>6</cp:revision>
  <cp:lastPrinted>2018-01-09T05:01:00Z</cp:lastPrinted>
  <dcterms:created xsi:type="dcterms:W3CDTF">2025-04-16T21:36:00Z</dcterms:created>
  <dcterms:modified xsi:type="dcterms:W3CDTF">2025-05-07T15:16:00Z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1254400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